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4143" w14:textId="77777777" w:rsidR="004B330F" w:rsidRPr="004B330F" w:rsidRDefault="004B330F" w:rsidP="004B330F">
      <w:pPr>
        <w:spacing w:line="360" w:lineRule="auto"/>
        <w:ind w:right="567"/>
        <w:jc w:val="center"/>
        <w:rPr>
          <w:b/>
          <w:szCs w:val="22"/>
        </w:rPr>
      </w:pPr>
      <w:r w:rsidRPr="004B330F">
        <w:rPr>
          <w:b/>
          <w:szCs w:val="22"/>
        </w:rPr>
        <w:t xml:space="preserve">INFORMACIJA APIE VALSTYBINIO ATLIEKŲ TVARKYMO PLANO ĮGYVENDINIMO 2014–2020 M. </w:t>
      </w:r>
    </w:p>
    <w:p w14:paraId="24DB660F" w14:textId="77777777" w:rsidR="004B330F" w:rsidRPr="004B330F" w:rsidRDefault="004B330F" w:rsidP="004B330F">
      <w:pPr>
        <w:spacing w:line="360" w:lineRule="auto"/>
        <w:ind w:right="567"/>
        <w:jc w:val="center"/>
        <w:rPr>
          <w:b/>
          <w:szCs w:val="22"/>
        </w:rPr>
      </w:pPr>
      <w:r w:rsidRPr="004B330F">
        <w:rPr>
          <w:b/>
          <w:szCs w:val="22"/>
        </w:rPr>
        <w:t xml:space="preserve">PRIEMONIŲ VYKDYMĄ 2019 METAIS </w:t>
      </w:r>
    </w:p>
    <w:p w14:paraId="0FE70234" w14:textId="6FE05AC2" w:rsidR="004B330F" w:rsidRPr="004B330F" w:rsidRDefault="004B330F" w:rsidP="004B330F">
      <w:pPr>
        <w:ind w:right="567"/>
        <w:jc w:val="center"/>
        <w:rPr>
          <w:b/>
          <w:szCs w:val="22"/>
          <w:u w:val="single"/>
        </w:rPr>
      </w:pPr>
      <w:r w:rsidRPr="004B330F">
        <w:rPr>
          <w:b/>
          <w:szCs w:val="22"/>
          <w:u w:val="single"/>
        </w:rPr>
        <w:t>VILNIAUS MIESTO</w:t>
      </w:r>
      <w:r w:rsidRPr="004B330F">
        <w:rPr>
          <w:b/>
          <w:szCs w:val="22"/>
          <w:u w:val="single"/>
        </w:rPr>
        <w:t xml:space="preserve"> SAV.</w:t>
      </w:r>
    </w:p>
    <w:p w14:paraId="1968A991" w14:textId="241AA457" w:rsidR="00A67C5B" w:rsidRDefault="00A67C5B" w:rsidP="00A67C5B">
      <w:pPr>
        <w:rPr>
          <w:b/>
          <w:caps/>
        </w:rPr>
      </w:pPr>
    </w:p>
    <w:tbl>
      <w:tblPr>
        <w:tblStyle w:val="Lentelstinklelis"/>
        <w:tblW w:w="16018" w:type="dxa"/>
        <w:jc w:val="center"/>
        <w:tblCellMar>
          <w:left w:w="85" w:type="dxa"/>
          <w:right w:w="85" w:type="dxa"/>
        </w:tblCellMar>
        <w:tblLook w:val="04A0" w:firstRow="1" w:lastRow="0" w:firstColumn="1" w:lastColumn="0" w:noHBand="0" w:noVBand="1"/>
      </w:tblPr>
      <w:tblGrid>
        <w:gridCol w:w="2831"/>
        <w:gridCol w:w="3403"/>
        <w:gridCol w:w="1418"/>
        <w:gridCol w:w="2382"/>
        <w:gridCol w:w="5984"/>
      </w:tblGrid>
      <w:tr w:rsidR="00654940" w14:paraId="3B165F51" w14:textId="77777777" w:rsidTr="004B330F">
        <w:trPr>
          <w:tblHeader/>
          <w:jc w:val="center"/>
        </w:trPr>
        <w:tc>
          <w:tcPr>
            <w:tcW w:w="2831" w:type="dxa"/>
            <w:vAlign w:val="center"/>
          </w:tcPr>
          <w:p w14:paraId="14E74E0E" w14:textId="248E0B9C" w:rsidR="00654940" w:rsidRDefault="00654940" w:rsidP="004B330F">
            <w:pPr>
              <w:jc w:val="center"/>
              <w:rPr>
                <w:b/>
                <w:caps/>
              </w:rPr>
            </w:pPr>
            <w:r w:rsidRPr="00A67C5B">
              <w:rPr>
                <w:b/>
              </w:rPr>
              <w:t>Uždaviniai</w:t>
            </w:r>
          </w:p>
        </w:tc>
        <w:tc>
          <w:tcPr>
            <w:tcW w:w="3403" w:type="dxa"/>
            <w:vAlign w:val="center"/>
          </w:tcPr>
          <w:p w14:paraId="594F7EF8" w14:textId="053744C6" w:rsidR="00654940" w:rsidRDefault="00654940" w:rsidP="004B330F">
            <w:pPr>
              <w:jc w:val="center"/>
              <w:rPr>
                <w:b/>
                <w:caps/>
              </w:rPr>
            </w:pPr>
            <w:r w:rsidRPr="00A67C5B">
              <w:rPr>
                <w:b/>
              </w:rPr>
              <w:t>Priemonės</w:t>
            </w:r>
          </w:p>
        </w:tc>
        <w:tc>
          <w:tcPr>
            <w:tcW w:w="1418" w:type="dxa"/>
            <w:vAlign w:val="center"/>
          </w:tcPr>
          <w:p w14:paraId="5E1BCD52" w14:textId="463DD771" w:rsidR="00654940" w:rsidRDefault="00654940" w:rsidP="004B330F">
            <w:pPr>
              <w:jc w:val="center"/>
              <w:rPr>
                <w:b/>
                <w:caps/>
              </w:rPr>
            </w:pPr>
            <w:r w:rsidRPr="00A67C5B">
              <w:rPr>
                <w:b/>
              </w:rPr>
              <w:t>Įvykdymo terminas</w:t>
            </w:r>
          </w:p>
        </w:tc>
        <w:tc>
          <w:tcPr>
            <w:tcW w:w="2382" w:type="dxa"/>
            <w:vAlign w:val="center"/>
          </w:tcPr>
          <w:p w14:paraId="1CC9D5D9" w14:textId="0242D11E" w:rsidR="00654940" w:rsidRDefault="00654940" w:rsidP="004B330F">
            <w:pPr>
              <w:jc w:val="center"/>
              <w:rPr>
                <w:b/>
                <w:caps/>
              </w:rPr>
            </w:pPr>
            <w:r w:rsidRPr="00A67C5B">
              <w:rPr>
                <w:b/>
              </w:rPr>
              <w:t>Vykdytojai</w:t>
            </w:r>
          </w:p>
        </w:tc>
        <w:tc>
          <w:tcPr>
            <w:tcW w:w="5984" w:type="dxa"/>
            <w:vAlign w:val="center"/>
          </w:tcPr>
          <w:p w14:paraId="5D49C13E" w14:textId="24F90120" w:rsidR="00654940" w:rsidRDefault="00654940" w:rsidP="004B330F">
            <w:pPr>
              <w:jc w:val="center"/>
              <w:rPr>
                <w:b/>
                <w:caps/>
              </w:rPr>
            </w:pPr>
            <w:r w:rsidRPr="00A67C5B">
              <w:rPr>
                <w:b/>
              </w:rPr>
              <w:t>Informacija apie prie</w:t>
            </w:r>
            <w:bookmarkStart w:id="0" w:name="_GoBack"/>
            <w:bookmarkEnd w:id="0"/>
            <w:r w:rsidRPr="00A67C5B">
              <w:rPr>
                <w:b/>
              </w:rPr>
              <w:t>monių vykdymą 2019 m.</w:t>
            </w:r>
          </w:p>
        </w:tc>
      </w:tr>
      <w:tr w:rsidR="00654940" w14:paraId="1D87CEBA" w14:textId="77777777" w:rsidTr="004B330F">
        <w:trPr>
          <w:jc w:val="center"/>
        </w:trPr>
        <w:tc>
          <w:tcPr>
            <w:tcW w:w="2831" w:type="dxa"/>
            <w:tcBorders>
              <w:bottom w:val="single" w:sz="4" w:space="0" w:color="auto"/>
            </w:tcBorders>
            <w:vAlign w:val="center"/>
          </w:tcPr>
          <w:p w14:paraId="64536789" w14:textId="78602EA5" w:rsidR="00654940" w:rsidRDefault="00654940" w:rsidP="004B330F">
            <w:pPr>
              <w:jc w:val="center"/>
              <w:rPr>
                <w:b/>
                <w:caps/>
              </w:rPr>
            </w:pPr>
            <w:r w:rsidRPr="00A67C5B">
              <w:t>2.3. sukurti komunalinių biologiškai skaidžių atliekų tvarkymo pajėgumus</w:t>
            </w:r>
          </w:p>
        </w:tc>
        <w:tc>
          <w:tcPr>
            <w:tcW w:w="3403" w:type="dxa"/>
            <w:vAlign w:val="center"/>
          </w:tcPr>
          <w:p w14:paraId="3B65BA2D" w14:textId="3456205E" w:rsidR="00654940" w:rsidRDefault="00654940" w:rsidP="004B330F">
            <w:pPr>
              <w:jc w:val="center"/>
              <w:rPr>
                <w:b/>
                <w:caps/>
              </w:rPr>
            </w:pPr>
            <w:r w:rsidRPr="00A67C5B">
              <w:rPr>
                <w:color w:val="000000"/>
              </w:rPr>
              <w:t>2.3.5. organizuoti maisto / virtuvės atliekų rūšiuojamąjį surinkimą ir (ar) individualų kompostavimą, įrengti pakankamus pajėgumus šioms maisto / virtuvės atliekoms apdoroti</w:t>
            </w:r>
          </w:p>
        </w:tc>
        <w:tc>
          <w:tcPr>
            <w:tcW w:w="1418" w:type="dxa"/>
            <w:vAlign w:val="center"/>
          </w:tcPr>
          <w:p w14:paraId="0E26A153" w14:textId="4D7ED2CE" w:rsidR="00654940" w:rsidRDefault="00654940" w:rsidP="004B330F">
            <w:pPr>
              <w:jc w:val="center"/>
              <w:rPr>
                <w:b/>
                <w:caps/>
              </w:rPr>
            </w:pPr>
            <w:r w:rsidRPr="00A67C5B">
              <w:t>2018 metai</w:t>
            </w:r>
          </w:p>
        </w:tc>
        <w:tc>
          <w:tcPr>
            <w:tcW w:w="2382" w:type="dxa"/>
            <w:vAlign w:val="center"/>
          </w:tcPr>
          <w:p w14:paraId="38082373" w14:textId="585D291D" w:rsidR="00654940" w:rsidRDefault="00654940" w:rsidP="004B330F">
            <w:pPr>
              <w:jc w:val="center"/>
              <w:rPr>
                <w:b/>
                <w:caps/>
              </w:rPr>
            </w:pPr>
            <w:r w:rsidRPr="00A67C5B">
              <w:rPr>
                <w:shd w:val="clear" w:color="auto" w:fill="FFFFFF"/>
              </w:rPr>
              <w:t>savivaldybės</w:t>
            </w:r>
          </w:p>
        </w:tc>
        <w:tc>
          <w:tcPr>
            <w:tcW w:w="5984" w:type="dxa"/>
            <w:vAlign w:val="center"/>
          </w:tcPr>
          <w:p w14:paraId="708F542A" w14:textId="5849923B" w:rsidR="00654940" w:rsidRDefault="00654940" w:rsidP="004B330F">
            <w:pPr>
              <w:jc w:val="center"/>
              <w:rPr>
                <w:b/>
                <w:caps/>
              </w:rPr>
            </w:pPr>
            <w:r w:rsidRPr="00A67C5B">
              <w:t>Įgyvendinama. Vadovaujantis 2014-2020 metų Europos Sąjungos fondų investicijų̨ veiksmų programos 5 prioriteto „Aplinkosauga, gamtos išteklių̨ darnus naudojimas ir prisitaikymas prie klimato kaitos“ 05.2.1-APVA-R-008 priemonės „Komunalinių atliekų tvarkymo infrastruktūros plėtra“ projekto „Komunalinių atliekų konteinerių aikštelių̨ įrengimas ir komunalinių atliekų konteinerių aikštelėms įsigijimas Vilniaus mieste“ įrenginėjamos požeminių ir pusiau požeminių konteinerių aikštelės, kuriose yra konteineriai mišrioms komunalinėms atliekoms, antrinėms žaliavoms ir maisto / virtuvės atliekoms surinkti</w:t>
            </w:r>
          </w:p>
        </w:tc>
      </w:tr>
      <w:tr w:rsidR="00654940" w14:paraId="27610C7C" w14:textId="77777777" w:rsidTr="004B330F">
        <w:trPr>
          <w:jc w:val="center"/>
        </w:trPr>
        <w:tc>
          <w:tcPr>
            <w:tcW w:w="2831" w:type="dxa"/>
            <w:tcBorders>
              <w:bottom w:val="nil"/>
            </w:tcBorders>
            <w:vAlign w:val="center"/>
          </w:tcPr>
          <w:p w14:paraId="7E126C1D" w14:textId="05B16002" w:rsidR="00654940" w:rsidRDefault="00654940" w:rsidP="004B330F">
            <w:pPr>
              <w:ind w:right="100"/>
              <w:jc w:val="center"/>
              <w:rPr>
                <w:b/>
                <w:caps/>
              </w:rPr>
            </w:pPr>
            <w:r w:rsidRPr="00A67C5B">
              <w:t>2.4. plėtoti rūšiuojamojo atliekų surinkimo sistemas</w:t>
            </w:r>
          </w:p>
        </w:tc>
        <w:tc>
          <w:tcPr>
            <w:tcW w:w="3403" w:type="dxa"/>
            <w:vAlign w:val="center"/>
          </w:tcPr>
          <w:p w14:paraId="5C832A27" w14:textId="67249814" w:rsidR="00654940" w:rsidRDefault="00654940" w:rsidP="004B330F">
            <w:pPr>
              <w:jc w:val="center"/>
              <w:rPr>
                <w:b/>
                <w:caps/>
              </w:rPr>
            </w:pPr>
            <w:r w:rsidRPr="00A67C5B">
              <w:rPr>
                <w:color w:val="000000"/>
              </w:rPr>
              <w:t>2.4.1. pastatyti nustatytais atstumais reikiamą kiekį antrinių žaliavų surinkimo konteinerių arba taikyti kitas antrinių žaliavų surinkimo priemones</w:t>
            </w:r>
            <w:r w:rsidRPr="00A67C5B">
              <w:t>.</w:t>
            </w:r>
          </w:p>
        </w:tc>
        <w:tc>
          <w:tcPr>
            <w:tcW w:w="1418" w:type="dxa"/>
            <w:vAlign w:val="center"/>
          </w:tcPr>
          <w:p w14:paraId="6EDDCFD4" w14:textId="156A10FD" w:rsidR="00654940" w:rsidRDefault="00654940" w:rsidP="004B330F">
            <w:pPr>
              <w:jc w:val="center"/>
              <w:rPr>
                <w:b/>
                <w:caps/>
              </w:rPr>
            </w:pPr>
            <w:r w:rsidRPr="00A67C5B">
              <w:t>2014–2017 metai</w:t>
            </w:r>
          </w:p>
        </w:tc>
        <w:tc>
          <w:tcPr>
            <w:tcW w:w="2382" w:type="dxa"/>
            <w:vAlign w:val="center"/>
          </w:tcPr>
          <w:p w14:paraId="09A1389E" w14:textId="08FF26BE" w:rsidR="00654940" w:rsidRDefault="00654940" w:rsidP="004B330F">
            <w:pPr>
              <w:jc w:val="center"/>
              <w:rPr>
                <w:b/>
                <w:caps/>
              </w:rPr>
            </w:pPr>
            <w:r w:rsidRPr="00A67C5B">
              <w:rPr>
                <w:shd w:val="clear" w:color="auto" w:fill="FFFFFF"/>
              </w:rPr>
              <w:t>savivaldybės</w:t>
            </w:r>
          </w:p>
        </w:tc>
        <w:tc>
          <w:tcPr>
            <w:tcW w:w="5984" w:type="dxa"/>
            <w:vAlign w:val="center"/>
          </w:tcPr>
          <w:p w14:paraId="2B067CAB" w14:textId="197BD1AE" w:rsidR="00654940" w:rsidRDefault="00654940" w:rsidP="004B330F">
            <w:pPr>
              <w:jc w:val="center"/>
              <w:rPr>
                <w:b/>
                <w:caps/>
              </w:rPr>
            </w:pPr>
            <w:r w:rsidRPr="0053187F">
              <w:t>Įgyvendinama. Vadovaujantis 2014-2020 metų Europos Sąjungos fondų investicijų̨ veiksmų programos 5 prioriteto „Aplinkosauga, gamtos išteklių̨ darnus naudojimas ir prisitaikymas prie klimato kaitos“ 05.2.1-APVA-R-008 priemonės „Komunalinių atliekų tvarkymo infrastruktūros plėtra“ projekto „Komunalinių atliekų konteinerių aikštelių̨ įrengimas ir komunalinių atliekų konteinerių aikštelėms įsigijimas Vilniaus mieste“ 2019 metais įrengtos 340 konteinerių aikštelės. Viso 2018-2019 metais įrengtos 518 konteinerių aikštelės.</w:t>
            </w:r>
          </w:p>
        </w:tc>
      </w:tr>
      <w:tr w:rsidR="00654940" w14:paraId="450F3892" w14:textId="77777777" w:rsidTr="004B330F">
        <w:trPr>
          <w:jc w:val="center"/>
        </w:trPr>
        <w:tc>
          <w:tcPr>
            <w:tcW w:w="2831" w:type="dxa"/>
            <w:tcBorders>
              <w:top w:val="nil"/>
              <w:bottom w:val="nil"/>
            </w:tcBorders>
            <w:vAlign w:val="center"/>
          </w:tcPr>
          <w:p w14:paraId="5128A81E" w14:textId="77777777" w:rsidR="00654940" w:rsidRDefault="00654940" w:rsidP="004B330F">
            <w:pPr>
              <w:jc w:val="center"/>
              <w:rPr>
                <w:b/>
                <w:caps/>
              </w:rPr>
            </w:pPr>
          </w:p>
        </w:tc>
        <w:tc>
          <w:tcPr>
            <w:tcW w:w="3403" w:type="dxa"/>
            <w:vAlign w:val="center"/>
          </w:tcPr>
          <w:p w14:paraId="074756A2" w14:textId="01EB209E" w:rsidR="00654940" w:rsidRDefault="00654940" w:rsidP="004B330F">
            <w:pPr>
              <w:jc w:val="center"/>
              <w:rPr>
                <w:b/>
                <w:caps/>
              </w:rPr>
            </w:pPr>
            <w:r w:rsidRPr="00A67C5B">
              <w:t>2.4.2. didinti didelių gabaritų atliekų surinkimo aikštelių skaičių arba taikyti kitas atliekų surinkimo priemones (pavyzdžiui, apvažiuojant)</w:t>
            </w:r>
          </w:p>
        </w:tc>
        <w:tc>
          <w:tcPr>
            <w:tcW w:w="1418" w:type="dxa"/>
            <w:vAlign w:val="center"/>
          </w:tcPr>
          <w:p w14:paraId="5EE1CA78" w14:textId="11806797" w:rsidR="00654940" w:rsidRPr="00654940" w:rsidRDefault="00654940" w:rsidP="004B330F">
            <w:pPr>
              <w:ind w:right="100"/>
              <w:jc w:val="center"/>
            </w:pPr>
            <w:r w:rsidRPr="00A67C5B">
              <w:t>2014–2020 metai</w:t>
            </w:r>
          </w:p>
        </w:tc>
        <w:tc>
          <w:tcPr>
            <w:tcW w:w="2382" w:type="dxa"/>
            <w:vAlign w:val="center"/>
          </w:tcPr>
          <w:p w14:paraId="3B449E8A" w14:textId="3F7DEC0A" w:rsidR="00654940" w:rsidRDefault="00654940" w:rsidP="004B330F">
            <w:pPr>
              <w:jc w:val="center"/>
              <w:rPr>
                <w:b/>
                <w:caps/>
              </w:rPr>
            </w:pPr>
            <w:r w:rsidRPr="00A67C5B">
              <w:rPr>
                <w:shd w:val="clear" w:color="auto" w:fill="FFFFFF"/>
              </w:rPr>
              <w:t>savivaldybės</w:t>
            </w:r>
          </w:p>
        </w:tc>
        <w:tc>
          <w:tcPr>
            <w:tcW w:w="5984" w:type="dxa"/>
            <w:vAlign w:val="center"/>
          </w:tcPr>
          <w:p w14:paraId="7D7176D4" w14:textId="3E27B76F" w:rsidR="00654940" w:rsidRDefault="00654940" w:rsidP="004B330F">
            <w:pPr>
              <w:pStyle w:val="prastasistinklapis"/>
              <w:shd w:val="clear" w:color="auto" w:fill="FFFFFF"/>
              <w:spacing w:before="0" w:beforeAutospacing="0" w:after="0" w:afterAutospacing="0"/>
              <w:jc w:val="center"/>
            </w:pPr>
            <w:r w:rsidRPr="00A67C5B">
              <w:t>Įgyvendinama.</w:t>
            </w:r>
          </w:p>
          <w:p w14:paraId="04E896DC" w14:textId="14B4F225" w:rsidR="00654940" w:rsidRDefault="00654940" w:rsidP="004B330F">
            <w:pPr>
              <w:pStyle w:val="prastasistinklapis"/>
              <w:shd w:val="clear" w:color="auto" w:fill="FFFFFF"/>
              <w:spacing w:before="0" w:beforeAutospacing="0" w:after="0" w:afterAutospacing="0"/>
              <w:jc w:val="center"/>
            </w:pPr>
            <w:r>
              <w:t xml:space="preserve">1. </w:t>
            </w:r>
            <w:r w:rsidRPr="00A67C5B">
              <w:t>2019 metais veikė̇ 5 didelių gabaritų atliekų surinkimo aikštelės ir 4 dalijimosi daiktais stotelės DĖK‘ui. Šias aikštelės ir stoteles eksploatuoja UAB „VAATC“. Daugiau informacijos apie a</w:t>
            </w:r>
            <w:r>
              <w:t>ikš</w:t>
            </w:r>
            <w:r w:rsidRPr="00A67C5B">
              <w:t>t</w:t>
            </w:r>
            <w:r>
              <w:t>e</w:t>
            </w:r>
            <w:r w:rsidRPr="00A67C5B">
              <w:t xml:space="preserve">lių̨ darbo laiką, priimamas atliekas ir jų̨ kiekius, stotelių darbo laiką pateikiama UAB „VAATC“ interneto svetainėje </w:t>
            </w:r>
            <w:proofErr w:type="spellStart"/>
            <w:r w:rsidRPr="00A67C5B">
              <w:t>www.vaatc.lt</w:t>
            </w:r>
            <w:proofErr w:type="spellEnd"/>
            <w:r w:rsidRPr="00A67C5B">
              <w:t>.</w:t>
            </w:r>
          </w:p>
          <w:p w14:paraId="69F02281" w14:textId="77777777" w:rsidR="00654940" w:rsidRDefault="00654940" w:rsidP="004B330F">
            <w:pPr>
              <w:pStyle w:val="prastasistinklapis"/>
              <w:shd w:val="clear" w:color="auto" w:fill="FFFFFF"/>
              <w:spacing w:before="0" w:beforeAutospacing="0" w:after="0" w:afterAutospacing="0"/>
              <w:jc w:val="center"/>
            </w:pPr>
            <w:r>
              <w:t>2. UAB „Ecoservice“ eksploatuoja mokamą didelių gabaritų atliekų surinkimo aikštelę adresu Gariūnų g. 71, Vilnius, daugiau informacijos www.ecoservice.lt.</w:t>
            </w:r>
          </w:p>
          <w:p w14:paraId="41FBF49A" w14:textId="3C688BA0" w:rsidR="00654940" w:rsidRDefault="00654940" w:rsidP="004B330F">
            <w:pPr>
              <w:jc w:val="center"/>
              <w:rPr>
                <w:b/>
                <w:caps/>
              </w:rPr>
            </w:pPr>
            <w:r>
              <w:lastRenderedPageBreak/>
              <w:t>3. 2019 m. UAB „Ecoservice“ teikė buityje susidarančių didelių gabaritų, statybos ir griovimo, tekstilės ir pavojingų atliekų (DGA) surinkimo paslaugą. Surinkta apie 3057 t DGA, iš kurių 3020 t didelių gabaritų ir tekstilės atliekų, 5 t statybos ir griovimo atliekų, 32 t medienos atliekų, 0,43 t medienos atliekų. Apvažiuota 400 surinkimo vietos ir vykdyti 13487 privalomi išvežimai. Viso 14287 išvežimai.</w:t>
            </w:r>
          </w:p>
        </w:tc>
      </w:tr>
      <w:tr w:rsidR="00654940" w14:paraId="66FF6C05" w14:textId="77777777" w:rsidTr="004B330F">
        <w:trPr>
          <w:jc w:val="center"/>
        </w:trPr>
        <w:tc>
          <w:tcPr>
            <w:tcW w:w="2831" w:type="dxa"/>
            <w:tcBorders>
              <w:top w:val="nil"/>
            </w:tcBorders>
            <w:vAlign w:val="center"/>
          </w:tcPr>
          <w:p w14:paraId="73FA00BE" w14:textId="77777777" w:rsidR="00654940" w:rsidRDefault="00654940" w:rsidP="004B330F">
            <w:pPr>
              <w:jc w:val="center"/>
              <w:rPr>
                <w:b/>
                <w:caps/>
              </w:rPr>
            </w:pPr>
          </w:p>
        </w:tc>
        <w:tc>
          <w:tcPr>
            <w:tcW w:w="3403" w:type="dxa"/>
            <w:vAlign w:val="center"/>
          </w:tcPr>
          <w:p w14:paraId="015E1218" w14:textId="344F0FB6" w:rsidR="00654940" w:rsidRDefault="00654940" w:rsidP="004B330F">
            <w:pPr>
              <w:jc w:val="center"/>
              <w:rPr>
                <w:b/>
                <w:caps/>
              </w:rPr>
            </w:pPr>
            <w:r w:rsidRPr="00A67C5B">
              <w:t>2.4.3. regioniniuose ir savivaldybių atliekų tvarkymo planuose numatyti ir taikyti buityje susidarančių pavojingųjų ir tekstilės atliekų surinkimo priemones, taip pat ir surinkimą apvažiuojant</w:t>
            </w:r>
          </w:p>
        </w:tc>
        <w:tc>
          <w:tcPr>
            <w:tcW w:w="1418" w:type="dxa"/>
            <w:vAlign w:val="center"/>
          </w:tcPr>
          <w:p w14:paraId="71470442" w14:textId="5F458F3D" w:rsidR="00654940" w:rsidRPr="00654940" w:rsidRDefault="00654940" w:rsidP="004B330F">
            <w:pPr>
              <w:ind w:right="100"/>
              <w:jc w:val="center"/>
            </w:pPr>
            <w:r w:rsidRPr="00A67C5B">
              <w:t>2014–2020 metai</w:t>
            </w:r>
          </w:p>
        </w:tc>
        <w:tc>
          <w:tcPr>
            <w:tcW w:w="2382" w:type="dxa"/>
            <w:vAlign w:val="center"/>
          </w:tcPr>
          <w:p w14:paraId="034C6281" w14:textId="0A950228" w:rsidR="00654940" w:rsidRPr="00654940" w:rsidRDefault="00654940" w:rsidP="004B330F">
            <w:pPr>
              <w:snapToGrid w:val="0"/>
              <w:jc w:val="center"/>
            </w:pPr>
            <w:r w:rsidRPr="00A67C5B">
              <w:rPr>
                <w:shd w:val="clear" w:color="auto" w:fill="FFFFFF"/>
              </w:rPr>
              <w:t>savivaldybės</w:t>
            </w:r>
          </w:p>
        </w:tc>
        <w:tc>
          <w:tcPr>
            <w:tcW w:w="5984" w:type="dxa"/>
            <w:vAlign w:val="center"/>
          </w:tcPr>
          <w:p w14:paraId="3D922BE3" w14:textId="77777777" w:rsidR="00100817" w:rsidRDefault="00654940" w:rsidP="004B330F">
            <w:pPr>
              <w:pStyle w:val="prastasistinklapis"/>
              <w:shd w:val="clear" w:color="auto" w:fill="FFFFFF"/>
              <w:spacing w:before="0" w:beforeAutospacing="0" w:after="0" w:afterAutospacing="0"/>
              <w:jc w:val="center"/>
            </w:pPr>
            <w:r w:rsidRPr="00A67C5B">
              <w:t>Įgyvendinama.</w:t>
            </w:r>
          </w:p>
          <w:p w14:paraId="3FDAE7F0" w14:textId="7E87AD51" w:rsidR="00654940" w:rsidRDefault="00100817" w:rsidP="004B330F">
            <w:pPr>
              <w:pStyle w:val="prastasistinklapis"/>
              <w:shd w:val="clear" w:color="auto" w:fill="FFFFFF"/>
              <w:spacing w:before="0" w:beforeAutospacing="0" w:after="0" w:afterAutospacing="0"/>
              <w:jc w:val="center"/>
            </w:pPr>
            <w:r>
              <w:t xml:space="preserve">1. </w:t>
            </w:r>
            <w:r w:rsidR="00654940" w:rsidRPr="00A67C5B">
              <w:t xml:space="preserve">Buityje susidariusias </w:t>
            </w:r>
            <w:r w:rsidR="00654940">
              <w:t xml:space="preserve"> didelių gabaritų, statybos ir griovimo, tekstilės ir pavojingas atliekas (DGA) </w:t>
            </w:r>
            <w:r w:rsidR="00654940" w:rsidRPr="00A67C5B">
              <w:t xml:space="preserve">Vilniaus miesto gyventojai gali atvežti ir </w:t>
            </w:r>
            <w:r w:rsidR="00654940">
              <w:t xml:space="preserve">nemokamai </w:t>
            </w:r>
            <w:r w:rsidR="00654940" w:rsidRPr="00A67C5B">
              <w:t>palikti didelių gabaritų atliekų surinkimo aikštelėse</w:t>
            </w:r>
            <w:r w:rsidR="00654940">
              <w:t>, kurias eksploatuoja UAB „VAATC“</w:t>
            </w:r>
            <w:r w:rsidR="00654940" w:rsidRPr="00A67C5B">
              <w:t>.</w:t>
            </w:r>
          </w:p>
          <w:p w14:paraId="00C61636" w14:textId="394C26DE" w:rsidR="007C3949" w:rsidRPr="007A4E5D" w:rsidRDefault="00100817" w:rsidP="004B330F">
            <w:pPr>
              <w:pStyle w:val="prastasistinklapis"/>
              <w:shd w:val="clear" w:color="auto" w:fill="FFFFFF"/>
              <w:spacing w:before="0" w:beforeAutospacing="0" w:after="0" w:afterAutospacing="0"/>
              <w:jc w:val="center"/>
            </w:pPr>
            <w:r>
              <w:t xml:space="preserve">2. </w:t>
            </w:r>
            <w:r w:rsidRPr="00100817">
              <w:t>Vilniaus miesto savivaldybės vietinės rinkliavos už komunalinių atliekų surinkimą iš atliekų turėtojų ir atliekų tvarkymą nuostat</w:t>
            </w:r>
            <w:r w:rsidR="00EE5B90">
              <w:t>ų naujoje redakcijoje</w:t>
            </w:r>
            <w:r w:rsidR="007A4E5D">
              <w:t xml:space="preserve">, </w:t>
            </w:r>
            <w:r w:rsidR="00EE5B90">
              <w:t xml:space="preserve">kuri patvirtinta </w:t>
            </w:r>
            <w:r>
              <w:t>2019-09-11 Vilniaus miesto tarybos sprendimu Nr.</w:t>
            </w:r>
            <w:r w:rsidR="007A4E5D">
              <w:t xml:space="preserve"> </w:t>
            </w:r>
            <w:r>
              <w:t xml:space="preserve">1-266 </w:t>
            </w:r>
            <w:r w:rsidR="00EE5B90">
              <w:t xml:space="preserve">ir įsigaliojo nuo </w:t>
            </w:r>
            <w:r>
              <w:t>2020-01-01</w:t>
            </w:r>
            <w:r w:rsidR="00EE5B90">
              <w:t>, numatyta</w:t>
            </w:r>
            <w:r w:rsidR="007A4E5D">
              <w:t xml:space="preserve"> Vilniaus miesto gyventojams teikiama individuali nemokama DGA surinkimo paslauga</w:t>
            </w:r>
            <w:r w:rsidR="00EE5B90">
              <w:t xml:space="preserve"> 1 kartą per 2 metus</w:t>
            </w:r>
            <w:r w:rsidR="007A4E5D">
              <w:t xml:space="preserve">, užsakoma SĮ „VASA“ ir  apmokama </w:t>
            </w:r>
            <w:r w:rsidR="007A4E5D" w:rsidRPr="007A4E5D">
              <w:t>vietinės rinkliavos už atliekų tvarkymą lėšomis</w:t>
            </w:r>
            <w:r w:rsidR="007A4E5D">
              <w:t>.</w:t>
            </w:r>
          </w:p>
          <w:p w14:paraId="2AC1392B" w14:textId="3FDD1EA1" w:rsidR="00654940" w:rsidRDefault="00100817" w:rsidP="004B330F">
            <w:pPr>
              <w:jc w:val="center"/>
              <w:rPr>
                <w:b/>
                <w:caps/>
              </w:rPr>
            </w:pPr>
            <w:r>
              <w:t>3</w:t>
            </w:r>
            <w:r w:rsidR="00654940">
              <w:t xml:space="preserve">. </w:t>
            </w:r>
            <w:r w:rsidR="00654940" w:rsidRPr="00777950">
              <w:t>2019 m. UAB „Ecoservice“ teikė DGA surinkimo paslaugą. Surinkta apie 3057 t DGA, iš kurių 3020 t didelių gabaritų ir tekstilės atliekų, 5 t statybos ir griovimo atliekų, 32 t medienos atliekų, 0,43 t medienos atliekų. Apvažiuota 400 surinkimo vietos ir vykdyti 13487 privalomi išvežimai. Viso 14287 išvežimai.</w:t>
            </w:r>
          </w:p>
        </w:tc>
      </w:tr>
      <w:tr w:rsidR="00654940" w14:paraId="1A7E4C7E" w14:textId="77777777" w:rsidTr="004B330F">
        <w:trPr>
          <w:jc w:val="center"/>
        </w:trPr>
        <w:tc>
          <w:tcPr>
            <w:tcW w:w="2831" w:type="dxa"/>
            <w:vAlign w:val="center"/>
          </w:tcPr>
          <w:p w14:paraId="6FDFEAB5" w14:textId="18AA6CE6" w:rsidR="00654940" w:rsidRDefault="00654940" w:rsidP="004B330F">
            <w:pPr>
              <w:jc w:val="center"/>
              <w:rPr>
                <w:b/>
                <w:caps/>
              </w:rPr>
            </w:pPr>
            <w:r w:rsidRPr="00A67C5B">
              <w:t>3.1. užtikrinti, kad visiems atliekų turėtojams būtų sudarytos sąlygos naudotis viešąja komunalinių atliekų tvarkymo paslauga</w:t>
            </w:r>
          </w:p>
        </w:tc>
        <w:tc>
          <w:tcPr>
            <w:tcW w:w="3403" w:type="dxa"/>
            <w:vAlign w:val="center"/>
          </w:tcPr>
          <w:p w14:paraId="51091B58" w14:textId="581A8971" w:rsidR="00654940" w:rsidRDefault="00654940" w:rsidP="004B330F">
            <w:pPr>
              <w:jc w:val="center"/>
              <w:rPr>
                <w:b/>
                <w:caps/>
              </w:rPr>
            </w:pPr>
            <w:r w:rsidRPr="00A67C5B">
              <w:t>3.1.1. visiems atliekų turėtojams teikti viešąją komunalinių atliekų tvarkymo paslaugą, atitinkančią minimalius kokybės reikalavimus, kuriuos nustato Aplinkos ministerija</w:t>
            </w:r>
          </w:p>
        </w:tc>
        <w:tc>
          <w:tcPr>
            <w:tcW w:w="1418" w:type="dxa"/>
            <w:vAlign w:val="center"/>
          </w:tcPr>
          <w:p w14:paraId="335D0999" w14:textId="02FB6686" w:rsidR="00654940" w:rsidRPr="00654940" w:rsidRDefault="00654940" w:rsidP="004B330F">
            <w:pPr>
              <w:keepNext/>
              <w:ind w:right="100"/>
              <w:jc w:val="center"/>
            </w:pPr>
            <w:r w:rsidRPr="00A67C5B">
              <w:t>2014–2020 metai</w:t>
            </w:r>
          </w:p>
        </w:tc>
        <w:tc>
          <w:tcPr>
            <w:tcW w:w="2382" w:type="dxa"/>
            <w:vAlign w:val="center"/>
          </w:tcPr>
          <w:p w14:paraId="50E38DE8" w14:textId="0198D58F" w:rsidR="00654940" w:rsidRPr="00654940" w:rsidRDefault="00654940" w:rsidP="004B330F">
            <w:pPr>
              <w:snapToGrid w:val="0"/>
              <w:jc w:val="center"/>
            </w:pPr>
            <w:r w:rsidRPr="00A67C5B">
              <w:rPr>
                <w:shd w:val="clear" w:color="auto" w:fill="FFFFFF"/>
              </w:rPr>
              <w:t>savivaldybės</w:t>
            </w:r>
          </w:p>
        </w:tc>
        <w:tc>
          <w:tcPr>
            <w:tcW w:w="5984" w:type="dxa"/>
            <w:vAlign w:val="center"/>
          </w:tcPr>
          <w:p w14:paraId="09A0F37F" w14:textId="53AD250A" w:rsidR="00654940" w:rsidRDefault="00654940" w:rsidP="004B330F">
            <w:pPr>
              <w:jc w:val="center"/>
              <w:rPr>
                <w:b/>
                <w:caps/>
              </w:rPr>
            </w:pPr>
            <w:r w:rsidRPr="00A67C5B">
              <w:t>Įgyvendinta. Visiems atliekų turėtojams sudarytos sąlygos naudotis viešąja komunalinių atliekų tvarkymo paslauga.</w:t>
            </w:r>
          </w:p>
        </w:tc>
      </w:tr>
      <w:tr w:rsidR="00654940" w14:paraId="5D9EA7B9" w14:textId="77777777" w:rsidTr="004B330F">
        <w:trPr>
          <w:jc w:val="center"/>
        </w:trPr>
        <w:tc>
          <w:tcPr>
            <w:tcW w:w="2831" w:type="dxa"/>
            <w:tcBorders>
              <w:bottom w:val="nil"/>
            </w:tcBorders>
            <w:vAlign w:val="center"/>
          </w:tcPr>
          <w:p w14:paraId="7A49385E" w14:textId="1060EB55" w:rsidR="00654940" w:rsidRPr="00654940" w:rsidRDefault="00654940" w:rsidP="004B330F">
            <w:pPr>
              <w:ind w:right="100"/>
              <w:jc w:val="center"/>
            </w:pPr>
            <w:r w:rsidRPr="00A67C5B">
              <w:t xml:space="preserve">6.1. didinti visuomenės </w:t>
            </w:r>
            <w:r w:rsidRPr="00A67C5B">
              <w:lastRenderedPageBreak/>
              <w:t>sąmoningumą atliekų tvarkymo srityje</w:t>
            </w:r>
          </w:p>
        </w:tc>
        <w:tc>
          <w:tcPr>
            <w:tcW w:w="3403" w:type="dxa"/>
            <w:vAlign w:val="center"/>
          </w:tcPr>
          <w:p w14:paraId="4EA083AF" w14:textId="0D179A1B" w:rsidR="00654940" w:rsidRDefault="00654940" w:rsidP="004B330F">
            <w:pPr>
              <w:jc w:val="center"/>
              <w:rPr>
                <w:b/>
                <w:caps/>
              </w:rPr>
            </w:pPr>
            <w:r w:rsidRPr="00A67C5B">
              <w:lastRenderedPageBreak/>
              <w:t xml:space="preserve">6.1.2. šviesti ir informuoti </w:t>
            </w:r>
            <w:r w:rsidRPr="00A67C5B">
              <w:lastRenderedPageBreak/>
              <w:t>visuomenę regioniniu lygiu: pristatyti komunalinių atliekų tvarkymo sistemą (akcentuoti kaip visumą), esamą surinkimo ir tvarkymo infrastruktūrą, pasirinktą apmokestinimą, gyventojų teises ir pareigas, galimybes rūšiuoti atliekas</w:t>
            </w:r>
          </w:p>
        </w:tc>
        <w:tc>
          <w:tcPr>
            <w:tcW w:w="1418" w:type="dxa"/>
            <w:vAlign w:val="center"/>
          </w:tcPr>
          <w:p w14:paraId="016B7C01" w14:textId="1914C86B" w:rsidR="00654940" w:rsidRDefault="00654940" w:rsidP="004B330F">
            <w:pPr>
              <w:jc w:val="center"/>
              <w:rPr>
                <w:b/>
                <w:caps/>
              </w:rPr>
            </w:pPr>
            <w:r w:rsidRPr="00A67C5B">
              <w:lastRenderedPageBreak/>
              <w:t xml:space="preserve">2015–2020 </w:t>
            </w:r>
            <w:r w:rsidRPr="00A67C5B">
              <w:lastRenderedPageBreak/>
              <w:t>metai</w:t>
            </w:r>
          </w:p>
        </w:tc>
        <w:tc>
          <w:tcPr>
            <w:tcW w:w="2382" w:type="dxa"/>
            <w:vAlign w:val="center"/>
          </w:tcPr>
          <w:p w14:paraId="4440B327" w14:textId="7A4EA8F7" w:rsidR="00654940" w:rsidRDefault="00654940" w:rsidP="004B330F">
            <w:pPr>
              <w:jc w:val="center"/>
              <w:rPr>
                <w:b/>
                <w:caps/>
              </w:rPr>
            </w:pPr>
            <w:r w:rsidRPr="00A67C5B">
              <w:lastRenderedPageBreak/>
              <w:t xml:space="preserve">regioniniai atliekų </w:t>
            </w:r>
            <w:r w:rsidRPr="00A67C5B">
              <w:lastRenderedPageBreak/>
              <w:t>tvarkymo centrai, savivaldybės</w:t>
            </w:r>
          </w:p>
        </w:tc>
        <w:tc>
          <w:tcPr>
            <w:tcW w:w="5984" w:type="dxa"/>
            <w:vAlign w:val="center"/>
          </w:tcPr>
          <w:p w14:paraId="3472E4FF" w14:textId="77777777" w:rsidR="00654940" w:rsidRPr="00777950" w:rsidRDefault="00654940" w:rsidP="004B330F">
            <w:pPr>
              <w:autoSpaceDE w:val="0"/>
              <w:autoSpaceDN w:val="0"/>
              <w:adjustRightInd w:val="0"/>
              <w:jc w:val="center"/>
              <w:rPr>
                <w:color w:val="000000" w:themeColor="text1"/>
              </w:rPr>
            </w:pPr>
            <w:r w:rsidRPr="00A67C5B">
              <w:rPr>
                <w:color w:val="000000" w:themeColor="text1"/>
              </w:rPr>
              <w:lastRenderedPageBreak/>
              <w:t>Įgyvendinama.</w:t>
            </w:r>
          </w:p>
          <w:p w14:paraId="36C7E7D9" w14:textId="77777777" w:rsidR="00654940" w:rsidRPr="00A67C5B" w:rsidRDefault="00654940" w:rsidP="004B330F">
            <w:pPr>
              <w:autoSpaceDE w:val="0"/>
              <w:autoSpaceDN w:val="0"/>
              <w:adjustRightInd w:val="0"/>
              <w:jc w:val="center"/>
              <w:rPr>
                <w:color w:val="000000" w:themeColor="text1"/>
              </w:rPr>
            </w:pPr>
            <w:r w:rsidRPr="00A67C5B">
              <w:rPr>
                <w:color w:val="000000" w:themeColor="text1"/>
              </w:rPr>
              <w:lastRenderedPageBreak/>
              <w:t>1. Informacija apie atliekų tvarkymą yra interneto svetainėse www.vilnius.lt, www.sivasa.lt, www.vaatc.lt, www.atliekos.lt, www.ecoservice.lt, www.vsa.lt, www.ekonovus.lt, www.pto.lt, www.zaliasistaskas.lt, www.gamtosateitis.lt.</w:t>
            </w:r>
          </w:p>
          <w:p w14:paraId="6CB8635B" w14:textId="77777777" w:rsidR="00654940" w:rsidRDefault="00654940" w:rsidP="004B330F">
            <w:pPr>
              <w:jc w:val="center"/>
            </w:pPr>
            <w:r w:rsidRPr="00A67C5B">
              <w:t xml:space="preserve">2. </w:t>
            </w:r>
            <w:r w:rsidR="0016234B" w:rsidRPr="00A67C5B">
              <w:t>Informacija visuomenei apie atliekų tvarkymą pateikta žiniasklaidos priemonėse, visuomeninio transporto stotelėse, autobusuose ir troleibusuose, interneto svetainėse, ant visuomeninio transporto priemonių.</w:t>
            </w:r>
          </w:p>
          <w:p w14:paraId="5CFEFE03" w14:textId="7CBA4097" w:rsidR="0004056F" w:rsidRPr="0016234B" w:rsidRDefault="0004056F" w:rsidP="004B330F">
            <w:pPr>
              <w:jc w:val="center"/>
            </w:pPr>
            <w:r w:rsidRPr="0004056F">
              <w:t>3. Nuo 2020 m. gyventojai su sąskaitomis gauna informaciją apie atliekų tvarkymą, rūšiavimą.</w:t>
            </w:r>
          </w:p>
        </w:tc>
      </w:tr>
      <w:tr w:rsidR="00654940" w14:paraId="3A041BC8" w14:textId="77777777" w:rsidTr="004B330F">
        <w:trPr>
          <w:jc w:val="center"/>
        </w:trPr>
        <w:tc>
          <w:tcPr>
            <w:tcW w:w="2831" w:type="dxa"/>
            <w:tcBorders>
              <w:top w:val="nil"/>
            </w:tcBorders>
            <w:vAlign w:val="center"/>
          </w:tcPr>
          <w:p w14:paraId="2A954252" w14:textId="77777777" w:rsidR="00654940" w:rsidRDefault="00654940" w:rsidP="004B330F">
            <w:pPr>
              <w:jc w:val="center"/>
              <w:rPr>
                <w:b/>
                <w:caps/>
              </w:rPr>
            </w:pPr>
          </w:p>
        </w:tc>
        <w:tc>
          <w:tcPr>
            <w:tcW w:w="3403" w:type="dxa"/>
            <w:vAlign w:val="center"/>
          </w:tcPr>
          <w:p w14:paraId="3E713B18" w14:textId="5D7FC06B" w:rsidR="00654940" w:rsidRDefault="00654940" w:rsidP="004B330F">
            <w:pPr>
              <w:jc w:val="center"/>
              <w:rPr>
                <w:b/>
                <w:caps/>
              </w:rPr>
            </w:pPr>
            <w:r w:rsidRPr="00A67C5B">
              <w:t>6.1.3. bendradarbiaujant su nevyriausybinėmis organizacijomis, rengti ir įgyvendinti bendrus visuomenės švietimo ir informavimo atliekų prevencijos ir atliekų tvarkymo klausimais projektus</w:t>
            </w:r>
          </w:p>
        </w:tc>
        <w:tc>
          <w:tcPr>
            <w:tcW w:w="1418" w:type="dxa"/>
            <w:vAlign w:val="center"/>
          </w:tcPr>
          <w:p w14:paraId="545A0B21" w14:textId="5538E6CF" w:rsidR="00654940" w:rsidRPr="00654940" w:rsidRDefault="00654940" w:rsidP="004B330F">
            <w:pPr>
              <w:ind w:right="100"/>
              <w:jc w:val="center"/>
            </w:pPr>
            <w:r w:rsidRPr="00A67C5B">
              <w:t>2014–2020 metai</w:t>
            </w:r>
          </w:p>
        </w:tc>
        <w:tc>
          <w:tcPr>
            <w:tcW w:w="2382" w:type="dxa"/>
            <w:vAlign w:val="center"/>
          </w:tcPr>
          <w:p w14:paraId="21A43777" w14:textId="06ED35E3" w:rsidR="00654940" w:rsidRPr="00654940" w:rsidRDefault="00654940" w:rsidP="004B330F">
            <w:pPr>
              <w:snapToGrid w:val="0"/>
              <w:jc w:val="center"/>
            </w:pPr>
            <w:r w:rsidRPr="00A67C5B">
              <w:rPr>
                <w:shd w:val="clear" w:color="auto" w:fill="FFFFFF"/>
              </w:rPr>
              <w:t>savivaldybės</w:t>
            </w:r>
          </w:p>
        </w:tc>
        <w:tc>
          <w:tcPr>
            <w:tcW w:w="5984" w:type="dxa"/>
            <w:vAlign w:val="center"/>
          </w:tcPr>
          <w:p w14:paraId="7D033F1B" w14:textId="77777777" w:rsidR="00654940" w:rsidRPr="00A67C5B" w:rsidRDefault="00654940" w:rsidP="004B330F">
            <w:pPr>
              <w:jc w:val="center"/>
              <w:rPr>
                <w:color w:val="000000" w:themeColor="text1"/>
              </w:rPr>
            </w:pPr>
            <w:r w:rsidRPr="00A67C5B">
              <w:rPr>
                <w:color w:val="000000" w:themeColor="text1"/>
              </w:rPr>
              <w:t>Įgyvendinama.</w:t>
            </w:r>
          </w:p>
          <w:p w14:paraId="2373DAB6" w14:textId="447CAB4F" w:rsidR="0016234B" w:rsidRDefault="00654940" w:rsidP="004B330F">
            <w:pPr>
              <w:jc w:val="center"/>
            </w:pPr>
            <w:r w:rsidRPr="00A67C5B">
              <w:t>1.</w:t>
            </w:r>
            <w:r w:rsidR="0016234B">
              <w:t xml:space="preserve"> Seminarai-kūrybinės dirbtuvės, didinančios visuomenės sąmoningumą atliekų tvarkymo srityje.</w:t>
            </w:r>
          </w:p>
          <w:p w14:paraId="34A8D0DA" w14:textId="766A8C19" w:rsidR="00654940" w:rsidRPr="0016234B" w:rsidRDefault="0016234B" w:rsidP="004B330F">
            <w:pPr>
              <w:jc w:val="center"/>
            </w:pPr>
            <w:r>
              <w:t>2. Gamintojų ir Importuotojų Asociacijos, VšĮ „Elektronikos gamintojų ir importuotojų organizacijos“ kartu su savivaldybe organizuotas aplinkosaugos projektas „Mes rūšiuojam“.</w:t>
            </w:r>
          </w:p>
        </w:tc>
      </w:tr>
      <w:tr w:rsidR="00654940" w14:paraId="0B89EFC0" w14:textId="77777777" w:rsidTr="004B330F">
        <w:trPr>
          <w:jc w:val="center"/>
        </w:trPr>
        <w:tc>
          <w:tcPr>
            <w:tcW w:w="2831" w:type="dxa"/>
            <w:vAlign w:val="center"/>
          </w:tcPr>
          <w:p w14:paraId="3E3597B0" w14:textId="4DE2219A" w:rsidR="00654940" w:rsidRPr="00654940" w:rsidRDefault="00654940" w:rsidP="004B330F">
            <w:pPr>
              <w:ind w:right="100"/>
              <w:jc w:val="center"/>
            </w:pPr>
            <w:r w:rsidRPr="00A67C5B">
              <w:t>6.2. tobulinti valstybės ir savivaldybės institucijų darbuotojų kompetenciją atliekų tvarkymo klausimais</w:t>
            </w:r>
          </w:p>
        </w:tc>
        <w:tc>
          <w:tcPr>
            <w:tcW w:w="3403" w:type="dxa"/>
            <w:vAlign w:val="center"/>
          </w:tcPr>
          <w:p w14:paraId="05E577F8" w14:textId="5A75E6E0" w:rsidR="00654940" w:rsidRPr="007A4E5D" w:rsidRDefault="00654940" w:rsidP="004B330F">
            <w:pPr>
              <w:ind w:right="100"/>
              <w:jc w:val="center"/>
            </w:pPr>
            <w:r w:rsidRPr="00A67C5B">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418" w:type="dxa"/>
            <w:vAlign w:val="center"/>
          </w:tcPr>
          <w:p w14:paraId="0041D573" w14:textId="5ED4A6C3" w:rsidR="00654940" w:rsidRPr="00654940" w:rsidRDefault="00654940" w:rsidP="004B330F">
            <w:pPr>
              <w:ind w:right="100"/>
              <w:jc w:val="center"/>
            </w:pPr>
            <w:r w:rsidRPr="00A67C5B">
              <w:t>2014–2020 metai</w:t>
            </w:r>
          </w:p>
        </w:tc>
        <w:tc>
          <w:tcPr>
            <w:tcW w:w="2382" w:type="dxa"/>
            <w:vAlign w:val="center"/>
          </w:tcPr>
          <w:p w14:paraId="317D1FF0" w14:textId="1F0E695F" w:rsidR="00654940" w:rsidRPr="00654940" w:rsidRDefault="00654940" w:rsidP="004B330F">
            <w:pPr>
              <w:ind w:right="100"/>
              <w:jc w:val="center"/>
            </w:pPr>
            <w:r w:rsidRPr="00A67C5B">
              <w:t>Aplinkos ministerija, Aplinkos apsaugos agentūra, savivaldybės</w:t>
            </w:r>
          </w:p>
        </w:tc>
        <w:tc>
          <w:tcPr>
            <w:tcW w:w="5984" w:type="dxa"/>
            <w:vAlign w:val="center"/>
          </w:tcPr>
          <w:p w14:paraId="4EA97056" w14:textId="104CE82E" w:rsidR="0004056F" w:rsidRDefault="00654940" w:rsidP="004B330F">
            <w:pPr>
              <w:jc w:val="center"/>
              <w:rPr>
                <w:rFonts w:eastAsia="Calibri"/>
                <w:color w:val="000000" w:themeColor="text1"/>
                <w:lang w:eastAsia="en-US"/>
              </w:rPr>
            </w:pPr>
            <w:r>
              <w:rPr>
                <w:rFonts w:eastAsia="Calibri"/>
                <w:color w:val="000000" w:themeColor="text1"/>
                <w:lang w:eastAsia="en-US"/>
              </w:rPr>
              <w:t>Įgyvendinama.</w:t>
            </w:r>
          </w:p>
          <w:p w14:paraId="483A00FF" w14:textId="7173E1FB" w:rsidR="0004056F" w:rsidRDefault="0004056F" w:rsidP="004B330F">
            <w:pPr>
              <w:jc w:val="center"/>
              <w:rPr>
                <w:rFonts w:eastAsia="Calibri"/>
                <w:color w:val="000000" w:themeColor="text1"/>
                <w:lang w:val="en-GB" w:eastAsia="en-US"/>
              </w:rPr>
            </w:pPr>
            <w:r>
              <w:rPr>
                <w:rFonts w:eastAsia="Calibri"/>
                <w:color w:val="000000" w:themeColor="text1"/>
                <w:lang w:eastAsia="en-US"/>
              </w:rPr>
              <w:t xml:space="preserve">1. </w:t>
            </w:r>
            <w:r w:rsidR="00654940" w:rsidRPr="00A67C5B">
              <w:rPr>
                <w:rFonts w:eastAsia="Calibri"/>
                <w:color w:val="000000" w:themeColor="text1"/>
                <w:lang w:eastAsia="en-US"/>
              </w:rPr>
              <w:t>2019 m. savivaldybės darbuotojai dalyvavo kasmetini</w:t>
            </w:r>
            <w:r w:rsidR="00654940">
              <w:rPr>
                <w:rFonts w:eastAsia="Calibri"/>
                <w:color w:val="000000" w:themeColor="text1"/>
                <w:lang w:eastAsia="en-US"/>
              </w:rPr>
              <w:t>ame</w:t>
            </w:r>
            <w:r w:rsidR="00654940" w:rsidRPr="00A67C5B">
              <w:rPr>
                <w:rFonts w:eastAsia="Calibri"/>
                <w:color w:val="000000" w:themeColor="text1"/>
                <w:lang w:eastAsia="en-US"/>
              </w:rPr>
              <w:t xml:space="preserve"> atliekų tvarkymo forume Druskininkuose „Atliekų tvarkymas 2019“.</w:t>
            </w:r>
          </w:p>
          <w:p w14:paraId="16401244" w14:textId="5943D86F" w:rsidR="00654940" w:rsidRPr="00A67C5B" w:rsidRDefault="0004056F" w:rsidP="004B330F">
            <w:pPr>
              <w:jc w:val="center"/>
              <w:rPr>
                <w:color w:val="000000" w:themeColor="text1"/>
              </w:rPr>
            </w:pPr>
            <w:r>
              <w:rPr>
                <w:rFonts w:eastAsia="Calibri"/>
                <w:color w:val="000000" w:themeColor="text1"/>
                <w:lang w:val="en-GB" w:eastAsia="en-US"/>
              </w:rPr>
              <w:t xml:space="preserve">2. 2019 m. </w:t>
            </w:r>
            <w:proofErr w:type="spellStart"/>
            <w:r>
              <w:rPr>
                <w:rFonts w:eastAsia="Calibri"/>
                <w:color w:val="000000" w:themeColor="text1"/>
                <w:lang w:val="en-GB" w:eastAsia="en-US"/>
              </w:rPr>
              <w:t>savivaldyb</w:t>
            </w:r>
            <w:proofErr w:type="spellEnd"/>
            <w:r>
              <w:rPr>
                <w:rFonts w:eastAsia="Calibri"/>
                <w:color w:val="000000" w:themeColor="text1"/>
                <w:lang w:eastAsia="en-US"/>
              </w:rPr>
              <w:t xml:space="preserve">ės atstovai susitiko su Talino (Estija) atliekų tvarkymo centro atstovais, pasikeitė gerąja patirtimi, taip pat įvyko vizitas </w:t>
            </w:r>
            <w:proofErr w:type="spellStart"/>
            <w:r>
              <w:rPr>
                <w:rFonts w:eastAsia="Calibri"/>
                <w:color w:val="000000" w:themeColor="text1"/>
                <w:lang w:eastAsia="en-US"/>
              </w:rPr>
              <w:t>Tamperės</w:t>
            </w:r>
            <w:proofErr w:type="spellEnd"/>
            <w:r>
              <w:rPr>
                <w:rFonts w:eastAsia="Calibri"/>
                <w:color w:val="000000" w:themeColor="text1"/>
                <w:lang w:eastAsia="en-US"/>
              </w:rPr>
              <w:t xml:space="preserve"> (Suomija) mieste, kur buvo lankomasi miesto atliekų deginimo jėgainėje, susipažįstama su atliekų tvarkymu Suomijoje.</w:t>
            </w:r>
          </w:p>
        </w:tc>
      </w:tr>
    </w:tbl>
    <w:p w14:paraId="2D1F7559" w14:textId="77777777" w:rsidR="0053187F" w:rsidRDefault="0053187F" w:rsidP="00A67C5B">
      <w:pPr>
        <w:rPr>
          <w:b/>
          <w:caps/>
        </w:rPr>
      </w:pPr>
    </w:p>
    <w:p w14:paraId="471B6360" w14:textId="77777777" w:rsidR="00A67C5B" w:rsidRPr="0053187F" w:rsidRDefault="00A67C5B" w:rsidP="00A67C5B">
      <w:pPr>
        <w:rPr>
          <w:b/>
          <w:caps/>
        </w:rPr>
      </w:pPr>
    </w:p>
    <w:sectPr w:rsidR="00A67C5B" w:rsidRPr="0053187F" w:rsidSect="004B330F">
      <w:headerReference w:type="even" r:id="rId9"/>
      <w:headerReference w:type="default" r:id="rId10"/>
      <w:pgSz w:w="16840" w:h="11900"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4C4B4" w14:textId="77777777" w:rsidR="002B1189" w:rsidRDefault="002B1189" w:rsidP="0016234B">
      <w:r>
        <w:separator/>
      </w:r>
    </w:p>
  </w:endnote>
  <w:endnote w:type="continuationSeparator" w:id="0">
    <w:p w14:paraId="1DC42488" w14:textId="77777777" w:rsidR="002B1189" w:rsidRDefault="002B1189" w:rsidP="0016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D4763" w14:textId="77777777" w:rsidR="002B1189" w:rsidRDefault="002B1189" w:rsidP="0016234B">
      <w:r>
        <w:separator/>
      </w:r>
    </w:p>
  </w:footnote>
  <w:footnote w:type="continuationSeparator" w:id="0">
    <w:p w14:paraId="098D4C23" w14:textId="77777777" w:rsidR="002B1189" w:rsidRDefault="002B1189" w:rsidP="0016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uslapionumeris"/>
      </w:rPr>
      <w:id w:val="1190261281"/>
      <w:docPartObj>
        <w:docPartGallery w:val="Page Numbers (Top of Page)"/>
        <w:docPartUnique/>
      </w:docPartObj>
    </w:sdtPr>
    <w:sdtEndPr>
      <w:rPr>
        <w:rStyle w:val="Puslapionumeris"/>
      </w:rPr>
    </w:sdtEndPr>
    <w:sdtContent>
      <w:p w14:paraId="78A4B12D" w14:textId="3B72F4F1" w:rsidR="0016234B" w:rsidRDefault="0016234B" w:rsidP="00295B42">
        <w:pPr>
          <w:pStyle w:val="Antrats"/>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sdtContent>
  </w:sdt>
  <w:p w14:paraId="5F23BA08" w14:textId="77777777" w:rsidR="0016234B" w:rsidRDefault="0016234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uslapionumeris"/>
      </w:rPr>
      <w:id w:val="1736278090"/>
      <w:docPartObj>
        <w:docPartGallery w:val="Page Numbers (Top of Page)"/>
        <w:docPartUnique/>
      </w:docPartObj>
    </w:sdtPr>
    <w:sdtEndPr>
      <w:rPr>
        <w:rStyle w:val="Puslapionumeris"/>
      </w:rPr>
    </w:sdtEndPr>
    <w:sdtContent>
      <w:p w14:paraId="41E27494" w14:textId="2FA51BA5" w:rsidR="0016234B" w:rsidRDefault="0016234B" w:rsidP="00295B42">
        <w:pPr>
          <w:pStyle w:val="Antrats"/>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4B330F">
          <w:rPr>
            <w:rStyle w:val="Puslapionumeris"/>
            <w:noProof/>
          </w:rPr>
          <w:t>2</w:t>
        </w:r>
        <w:r>
          <w:rPr>
            <w:rStyle w:val="Puslapionumeris"/>
          </w:rPr>
          <w:fldChar w:fldCharType="end"/>
        </w:r>
      </w:p>
    </w:sdtContent>
  </w:sdt>
  <w:p w14:paraId="5ABDE40C" w14:textId="77777777" w:rsidR="0016234B" w:rsidRDefault="0016234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61C89"/>
    <w:multiLevelType w:val="hybridMultilevel"/>
    <w:tmpl w:val="F366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341FD6"/>
    <w:multiLevelType w:val="hybridMultilevel"/>
    <w:tmpl w:val="0686A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5B"/>
    <w:rsid w:val="0004056F"/>
    <w:rsid w:val="00100817"/>
    <w:rsid w:val="00116C35"/>
    <w:rsid w:val="0016234B"/>
    <w:rsid w:val="002B1189"/>
    <w:rsid w:val="004B330F"/>
    <w:rsid w:val="00516156"/>
    <w:rsid w:val="0053187F"/>
    <w:rsid w:val="00654940"/>
    <w:rsid w:val="007674E1"/>
    <w:rsid w:val="00777950"/>
    <w:rsid w:val="007A4E5D"/>
    <w:rsid w:val="007C3949"/>
    <w:rsid w:val="00973F9E"/>
    <w:rsid w:val="009E5386"/>
    <w:rsid w:val="00A6003C"/>
    <w:rsid w:val="00A67C5B"/>
    <w:rsid w:val="00A86333"/>
    <w:rsid w:val="00A91D03"/>
    <w:rsid w:val="00DA2668"/>
    <w:rsid w:val="00EE5B90"/>
    <w:rsid w:val="00F3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7C5B"/>
    <w:rPr>
      <w:rFonts w:ascii="Times New Roman" w:eastAsia="Times New Roman" w:hAnsi="Times New Roman" w:cs="Times New Roman"/>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A67C5B"/>
    <w:pPr>
      <w:spacing w:before="100" w:beforeAutospacing="1" w:after="100" w:afterAutospacing="1"/>
    </w:pPr>
    <w:rPr>
      <w:lang w:eastAsia="en-GB"/>
    </w:rPr>
  </w:style>
  <w:style w:type="paragraph" w:styleId="Sraopastraipa">
    <w:name w:val="List Paragraph"/>
    <w:basedOn w:val="prastasis"/>
    <w:uiPriority w:val="34"/>
    <w:qFormat/>
    <w:rsid w:val="00A67C5B"/>
    <w:pPr>
      <w:ind w:left="720"/>
      <w:contextualSpacing/>
    </w:pPr>
  </w:style>
  <w:style w:type="character" w:styleId="Komentaronuoroda">
    <w:name w:val="annotation reference"/>
    <w:basedOn w:val="Numatytasispastraiposriftas"/>
    <w:uiPriority w:val="99"/>
    <w:semiHidden/>
    <w:unhideWhenUsed/>
    <w:rsid w:val="00A6003C"/>
    <w:rPr>
      <w:sz w:val="16"/>
      <w:szCs w:val="16"/>
    </w:rPr>
  </w:style>
  <w:style w:type="paragraph" w:styleId="Komentarotekstas">
    <w:name w:val="annotation text"/>
    <w:basedOn w:val="prastasis"/>
    <w:link w:val="KomentarotekstasDiagrama"/>
    <w:uiPriority w:val="99"/>
    <w:semiHidden/>
    <w:unhideWhenUsed/>
    <w:rsid w:val="00A6003C"/>
    <w:rPr>
      <w:sz w:val="20"/>
      <w:szCs w:val="20"/>
    </w:rPr>
  </w:style>
  <w:style w:type="character" w:customStyle="1" w:styleId="KomentarotekstasDiagrama">
    <w:name w:val="Komentaro tekstas Diagrama"/>
    <w:basedOn w:val="Numatytasispastraiposriftas"/>
    <w:link w:val="Komentarotekstas"/>
    <w:uiPriority w:val="99"/>
    <w:semiHidden/>
    <w:rsid w:val="00A6003C"/>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A6003C"/>
    <w:rPr>
      <w:b/>
      <w:bCs/>
    </w:rPr>
  </w:style>
  <w:style w:type="character" w:customStyle="1" w:styleId="KomentarotemaDiagrama">
    <w:name w:val="Komentaro tema Diagrama"/>
    <w:basedOn w:val="KomentarotekstasDiagrama"/>
    <w:link w:val="Komentarotema"/>
    <w:uiPriority w:val="99"/>
    <w:semiHidden/>
    <w:rsid w:val="00A6003C"/>
    <w:rPr>
      <w:rFonts w:ascii="Times New Roman" w:eastAsia="Times New Roman" w:hAnsi="Times New Roman" w:cs="Times New Roman"/>
      <w:b/>
      <w:bCs/>
      <w:sz w:val="20"/>
      <w:szCs w:val="20"/>
      <w:lang w:val="lt-LT" w:eastAsia="lt-LT"/>
    </w:rPr>
  </w:style>
  <w:style w:type="paragraph" w:styleId="Debesliotekstas">
    <w:name w:val="Balloon Text"/>
    <w:basedOn w:val="prastasis"/>
    <w:link w:val="DebesliotekstasDiagrama"/>
    <w:uiPriority w:val="99"/>
    <w:semiHidden/>
    <w:unhideWhenUsed/>
    <w:rsid w:val="00A6003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6003C"/>
    <w:rPr>
      <w:rFonts w:ascii="Segoe UI" w:eastAsia="Times New Roman" w:hAnsi="Segoe UI" w:cs="Segoe UI"/>
      <w:sz w:val="18"/>
      <w:szCs w:val="18"/>
      <w:lang w:val="lt-LT" w:eastAsia="lt-LT"/>
    </w:rPr>
  </w:style>
  <w:style w:type="table" w:styleId="Lentelstinklelis">
    <w:name w:val="Table Grid"/>
    <w:basedOn w:val="prastojilentel"/>
    <w:uiPriority w:val="39"/>
    <w:rsid w:val="00531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16234B"/>
    <w:pPr>
      <w:tabs>
        <w:tab w:val="center" w:pos="4513"/>
        <w:tab w:val="right" w:pos="9026"/>
      </w:tabs>
    </w:pPr>
  </w:style>
  <w:style w:type="character" w:customStyle="1" w:styleId="AntratsDiagrama">
    <w:name w:val="Antraštės Diagrama"/>
    <w:basedOn w:val="Numatytasispastraiposriftas"/>
    <w:link w:val="Antrats"/>
    <w:uiPriority w:val="99"/>
    <w:rsid w:val="0016234B"/>
    <w:rPr>
      <w:rFonts w:ascii="Times New Roman" w:eastAsia="Times New Roman" w:hAnsi="Times New Roman" w:cs="Times New Roman"/>
      <w:lang w:val="lt-LT" w:eastAsia="lt-LT"/>
    </w:rPr>
  </w:style>
  <w:style w:type="character" w:styleId="Puslapionumeris">
    <w:name w:val="page number"/>
    <w:basedOn w:val="Numatytasispastraiposriftas"/>
    <w:uiPriority w:val="99"/>
    <w:semiHidden/>
    <w:unhideWhenUsed/>
    <w:rsid w:val="0016234B"/>
  </w:style>
  <w:style w:type="paragraph" w:styleId="Porat">
    <w:name w:val="footer"/>
    <w:basedOn w:val="prastasis"/>
    <w:link w:val="PoratDiagrama"/>
    <w:uiPriority w:val="99"/>
    <w:unhideWhenUsed/>
    <w:rsid w:val="0016234B"/>
    <w:pPr>
      <w:tabs>
        <w:tab w:val="center" w:pos="4513"/>
        <w:tab w:val="right" w:pos="9026"/>
      </w:tabs>
    </w:pPr>
  </w:style>
  <w:style w:type="character" w:customStyle="1" w:styleId="PoratDiagrama">
    <w:name w:val="Poraštė Diagrama"/>
    <w:basedOn w:val="Numatytasispastraiposriftas"/>
    <w:link w:val="Porat"/>
    <w:uiPriority w:val="99"/>
    <w:rsid w:val="0016234B"/>
    <w:rPr>
      <w:rFonts w:ascii="Times New Roman" w:eastAsia="Times New Roman" w:hAnsi="Times New Roman" w:cs="Times New Roman"/>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7C5B"/>
    <w:rPr>
      <w:rFonts w:ascii="Times New Roman" w:eastAsia="Times New Roman" w:hAnsi="Times New Roman" w:cs="Times New Roman"/>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A67C5B"/>
    <w:pPr>
      <w:spacing w:before="100" w:beforeAutospacing="1" w:after="100" w:afterAutospacing="1"/>
    </w:pPr>
    <w:rPr>
      <w:lang w:eastAsia="en-GB"/>
    </w:rPr>
  </w:style>
  <w:style w:type="paragraph" w:styleId="Sraopastraipa">
    <w:name w:val="List Paragraph"/>
    <w:basedOn w:val="prastasis"/>
    <w:uiPriority w:val="34"/>
    <w:qFormat/>
    <w:rsid w:val="00A67C5B"/>
    <w:pPr>
      <w:ind w:left="720"/>
      <w:contextualSpacing/>
    </w:pPr>
  </w:style>
  <w:style w:type="character" w:styleId="Komentaronuoroda">
    <w:name w:val="annotation reference"/>
    <w:basedOn w:val="Numatytasispastraiposriftas"/>
    <w:uiPriority w:val="99"/>
    <w:semiHidden/>
    <w:unhideWhenUsed/>
    <w:rsid w:val="00A6003C"/>
    <w:rPr>
      <w:sz w:val="16"/>
      <w:szCs w:val="16"/>
    </w:rPr>
  </w:style>
  <w:style w:type="paragraph" w:styleId="Komentarotekstas">
    <w:name w:val="annotation text"/>
    <w:basedOn w:val="prastasis"/>
    <w:link w:val="KomentarotekstasDiagrama"/>
    <w:uiPriority w:val="99"/>
    <w:semiHidden/>
    <w:unhideWhenUsed/>
    <w:rsid w:val="00A6003C"/>
    <w:rPr>
      <w:sz w:val="20"/>
      <w:szCs w:val="20"/>
    </w:rPr>
  </w:style>
  <w:style w:type="character" w:customStyle="1" w:styleId="KomentarotekstasDiagrama">
    <w:name w:val="Komentaro tekstas Diagrama"/>
    <w:basedOn w:val="Numatytasispastraiposriftas"/>
    <w:link w:val="Komentarotekstas"/>
    <w:uiPriority w:val="99"/>
    <w:semiHidden/>
    <w:rsid w:val="00A6003C"/>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A6003C"/>
    <w:rPr>
      <w:b/>
      <w:bCs/>
    </w:rPr>
  </w:style>
  <w:style w:type="character" w:customStyle="1" w:styleId="KomentarotemaDiagrama">
    <w:name w:val="Komentaro tema Diagrama"/>
    <w:basedOn w:val="KomentarotekstasDiagrama"/>
    <w:link w:val="Komentarotema"/>
    <w:uiPriority w:val="99"/>
    <w:semiHidden/>
    <w:rsid w:val="00A6003C"/>
    <w:rPr>
      <w:rFonts w:ascii="Times New Roman" w:eastAsia="Times New Roman" w:hAnsi="Times New Roman" w:cs="Times New Roman"/>
      <w:b/>
      <w:bCs/>
      <w:sz w:val="20"/>
      <w:szCs w:val="20"/>
      <w:lang w:val="lt-LT" w:eastAsia="lt-LT"/>
    </w:rPr>
  </w:style>
  <w:style w:type="paragraph" w:styleId="Debesliotekstas">
    <w:name w:val="Balloon Text"/>
    <w:basedOn w:val="prastasis"/>
    <w:link w:val="DebesliotekstasDiagrama"/>
    <w:uiPriority w:val="99"/>
    <w:semiHidden/>
    <w:unhideWhenUsed/>
    <w:rsid w:val="00A6003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6003C"/>
    <w:rPr>
      <w:rFonts w:ascii="Segoe UI" w:eastAsia="Times New Roman" w:hAnsi="Segoe UI" w:cs="Segoe UI"/>
      <w:sz w:val="18"/>
      <w:szCs w:val="18"/>
      <w:lang w:val="lt-LT" w:eastAsia="lt-LT"/>
    </w:rPr>
  </w:style>
  <w:style w:type="table" w:styleId="Lentelstinklelis">
    <w:name w:val="Table Grid"/>
    <w:basedOn w:val="prastojilentel"/>
    <w:uiPriority w:val="39"/>
    <w:rsid w:val="00531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16234B"/>
    <w:pPr>
      <w:tabs>
        <w:tab w:val="center" w:pos="4513"/>
        <w:tab w:val="right" w:pos="9026"/>
      </w:tabs>
    </w:pPr>
  </w:style>
  <w:style w:type="character" w:customStyle="1" w:styleId="AntratsDiagrama">
    <w:name w:val="Antraštės Diagrama"/>
    <w:basedOn w:val="Numatytasispastraiposriftas"/>
    <w:link w:val="Antrats"/>
    <w:uiPriority w:val="99"/>
    <w:rsid w:val="0016234B"/>
    <w:rPr>
      <w:rFonts w:ascii="Times New Roman" w:eastAsia="Times New Roman" w:hAnsi="Times New Roman" w:cs="Times New Roman"/>
      <w:lang w:val="lt-LT" w:eastAsia="lt-LT"/>
    </w:rPr>
  </w:style>
  <w:style w:type="character" w:styleId="Puslapionumeris">
    <w:name w:val="page number"/>
    <w:basedOn w:val="Numatytasispastraiposriftas"/>
    <w:uiPriority w:val="99"/>
    <w:semiHidden/>
    <w:unhideWhenUsed/>
    <w:rsid w:val="0016234B"/>
  </w:style>
  <w:style w:type="paragraph" w:styleId="Porat">
    <w:name w:val="footer"/>
    <w:basedOn w:val="prastasis"/>
    <w:link w:val="PoratDiagrama"/>
    <w:uiPriority w:val="99"/>
    <w:unhideWhenUsed/>
    <w:rsid w:val="0016234B"/>
    <w:pPr>
      <w:tabs>
        <w:tab w:val="center" w:pos="4513"/>
        <w:tab w:val="right" w:pos="9026"/>
      </w:tabs>
    </w:pPr>
  </w:style>
  <w:style w:type="character" w:customStyle="1" w:styleId="PoratDiagrama">
    <w:name w:val="Poraštė Diagrama"/>
    <w:basedOn w:val="Numatytasispastraiposriftas"/>
    <w:link w:val="Porat"/>
    <w:uiPriority w:val="99"/>
    <w:rsid w:val="0016234B"/>
    <w:rPr>
      <w:rFonts w:ascii="Times New Roman" w:eastAsia="Times New Roman" w:hAnsi="Times New Roman" w:cs="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0325">
      <w:bodyDiv w:val="1"/>
      <w:marLeft w:val="0"/>
      <w:marRight w:val="0"/>
      <w:marTop w:val="0"/>
      <w:marBottom w:val="0"/>
      <w:divBdr>
        <w:top w:val="none" w:sz="0" w:space="0" w:color="auto"/>
        <w:left w:val="none" w:sz="0" w:space="0" w:color="auto"/>
        <w:bottom w:val="none" w:sz="0" w:space="0" w:color="auto"/>
        <w:right w:val="none" w:sz="0" w:space="0" w:color="auto"/>
      </w:divBdr>
      <w:divsChild>
        <w:div w:id="263617943">
          <w:marLeft w:val="0"/>
          <w:marRight w:val="0"/>
          <w:marTop w:val="0"/>
          <w:marBottom w:val="0"/>
          <w:divBdr>
            <w:top w:val="none" w:sz="0" w:space="0" w:color="auto"/>
            <w:left w:val="none" w:sz="0" w:space="0" w:color="auto"/>
            <w:bottom w:val="none" w:sz="0" w:space="0" w:color="auto"/>
            <w:right w:val="none" w:sz="0" w:space="0" w:color="auto"/>
          </w:divBdr>
          <w:divsChild>
            <w:div w:id="1918436723">
              <w:marLeft w:val="0"/>
              <w:marRight w:val="0"/>
              <w:marTop w:val="0"/>
              <w:marBottom w:val="0"/>
              <w:divBdr>
                <w:top w:val="none" w:sz="0" w:space="0" w:color="auto"/>
                <w:left w:val="none" w:sz="0" w:space="0" w:color="auto"/>
                <w:bottom w:val="none" w:sz="0" w:space="0" w:color="auto"/>
                <w:right w:val="none" w:sz="0" w:space="0" w:color="auto"/>
              </w:divBdr>
              <w:divsChild>
                <w:div w:id="1053308107">
                  <w:marLeft w:val="0"/>
                  <w:marRight w:val="0"/>
                  <w:marTop w:val="0"/>
                  <w:marBottom w:val="0"/>
                  <w:divBdr>
                    <w:top w:val="none" w:sz="0" w:space="0" w:color="auto"/>
                    <w:left w:val="none" w:sz="0" w:space="0" w:color="auto"/>
                    <w:bottom w:val="none" w:sz="0" w:space="0" w:color="auto"/>
                    <w:right w:val="none" w:sz="0" w:space="0" w:color="auto"/>
                  </w:divBdr>
                  <w:divsChild>
                    <w:div w:id="7421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4506">
      <w:bodyDiv w:val="1"/>
      <w:marLeft w:val="0"/>
      <w:marRight w:val="0"/>
      <w:marTop w:val="0"/>
      <w:marBottom w:val="0"/>
      <w:divBdr>
        <w:top w:val="none" w:sz="0" w:space="0" w:color="auto"/>
        <w:left w:val="none" w:sz="0" w:space="0" w:color="auto"/>
        <w:bottom w:val="none" w:sz="0" w:space="0" w:color="auto"/>
        <w:right w:val="none" w:sz="0" w:space="0" w:color="auto"/>
      </w:divBdr>
    </w:div>
    <w:div w:id="1170831459">
      <w:bodyDiv w:val="1"/>
      <w:marLeft w:val="0"/>
      <w:marRight w:val="0"/>
      <w:marTop w:val="0"/>
      <w:marBottom w:val="0"/>
      <w:divBdr>
        <w:top w:val="none" w:sz="0" w:space="0" w:color="auto"/>
        <w:left w:val="none" w:sz="0" w:space="0" w:color="auto"/>
        <w:bottom w:val="none" w:sz="0" w:space="0" w:color="auto"/>
        <w:right w:val="none" w:sz="0" w:space="0" w:color="auto"/>
      </w:divBdr>
      <w:divsChild>
        <w:div w:id="672414723">
          <w:marLeft w:val="0"/>
          <w:marRight w:val="0"/>
          <w:marTop w:val="0"/>
          <w:marBottom w:val="0"/>
          <w:divBdr>
            <w:top w:val="none" w:sz="0" w:space="0" w:color="auto"/>
            <w:left w:val="none" w:sz="0" w:space="0" w:color="auto"/>
            <w:bottom w:val="none" w:sz="0" w:space="0" w:color="auto"/>
            <w:right w:val="none" w:sz="0" w:space="0" w:color="auto"/>
          </w:divBdr>
          <w:divsChild>
            <w:div w:id="259417389">
              <w:marLeft w:val="0"/>
              <w:marRight w:val="0"/>
              <w:marTop w:val="0"/>
              <w:marBottom w:val="0"/>
              <w:divBdr>
                <w:top w:val="none" w:sz="0" w:space="0" w:color="auto"/>
                <w:left w:val="none" w:sz="0" w:space="0" w:color="auto"/>
                <w:bottom w:val="none" w:sz="0" w:space="0" w:color="auto"/>
                <w:right w:val="none" w:sz="0" w:space="0" w:color="auto"/>
              </w:divBdr>
              <w:divsChild>
                <w:div w:id="1695570424">
                  <w:marLeft w:val="0"/>
                  <w:marRight w:val="0"/>
                  <w:marTop w:val="0"/>
                  <w:marBottom w:val="0"/>
                  <w:divBdr>
                    <w:top w:val="none" w:sz="0" w:space="0" w:color="auto"/>
                    <w:left w:val="none" w:sz="0" w:space="0" w:color="auto"/>
                    <w:bottom w:val="none" w:sz="0" w:space="0" w:color="auto"/>
                    <w:right w:val="none" w:sz="0" w:space="0" w:color="auto"/>
                  </w:divBdr>
                  <w:divsChild>
                    <w:div w:id="68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75467">
      <w:bodyDiv w:val="1"/>
      <w:marLeft w:val="0"/>
      <w:marRight w:val="0"/>
      <w:marTop w:val="0"/>
      <w:marBottom w:val="0"/>
      <w:divBdr>
        <w:top w:val="none" w:sz="0" w:space="0" w:color="auto"/>
        <w:left w:val="none" w:sz="0" w:space="0" w:color="auto"/>
        <w:bottom w:val="none" w:sz="0" w:space="0" w:color="auto"/>
        <w:right w:val="none" w:sz="0" w:space="0" w:color="auto"/>
      </w:divBdr>
      <w:divsChild>
        <w:div w:id="1804077116">
          <w:marLeft w:val="0"/>
          <w:marRight w:val="0"/>
          <w:marTop w:val="0"/>
          <w:marBottom w:val="0"/>
          <w:divBdr>
            <w:top w:val="none" w:sz="0" w:space="0" w:color="auto"/>
            <w:left w:val="none" w:sz="0" w:space="0" w:color="auto"/>
            <w:bottom w:val="none" w:sz="0" w:space="0" w:color="auto"/>
            <w:right w:val="none" w:sz="0" w:space="0" w:color="auto"/>
          </w:divBdr>
          <w:divsChild>
            <w:div w:id="1138377375">
              <w:marLeft w:val="0"/>
              <w:marRight w:val="0"/>
              <w:marTop w:val="0"/>
              <w:marBottom w:val="0"/>
              <w:divBdr>
                <w:top w:val="none" w:sz="0" w:space="0" w:color="auto"/>
                <w:left w:val="none" w:sz="0" w:space="0" w:color="auto"/>
                <w:bottom w:val="none" w:sz="0" w:space="0" w:color="auto"/>
                <w:right w:val="none" w:sz="0" w:space="0" w:color="auto"/>
              </w:divBdr>
              <w:divsChild>
                <w:div w:id="187529744">
                  <w:marLeft w:val="0"/>
                  <w:marRight w:val="0"/>
                  <w:marTop w:val="0"/>
                  <w:marBottom w:val="0"/>
                  <w:divBdr>
                    <w:top w:val="none" w:sz="0" w:space="0" w:color="auto"/>
                    <w:left w:val="none" w:sz="0" w:space="0" w:color="auto"/>
                    <w:bottom w:val="none" w:sz="0" w:space="0" w:color="auto"/>
                    <w:right w:val="none" w:sz="0" w:space="0" w:color="auto"/>
                  </w:divBdr>
                  <w:divsChild>
                    <w:div w:id="1522040167">
                      <w:marLeft w:val="0"/>
                      <w:marRight w:val="0"/>
                      <w:marTop w:val="0"/>
                      <w:marBottom w:val="0"/>
                      <w:divBdr>
                        <w:top w:val="none" w:sz="0" w:space="0" w:color="auto"/>
                        <w:left w:val="none" w:sz="0" w:space="0" w:color="auto"/>
                        <w:bottom w:val="none" w:sz="0" w:space="0" w:color="auto"/>
                        <w:right w:val="none" w:sz="0" w:space="0" w:color="auto"/>
                      </w:divBdr>
                    </w:div>
                  </w:divsChild>
                </w:div>
                <w:div w:id="787314491">
                  <w:marLeft w:val="0"/>
                  <w:marRight w:val="0"/>
                  <w:marTop w:val="0"/>
                  <w:marBottom w:val="0"/>
                  <w:divBdr>
                    <w:top w:val="none" w:sz="0" w:space="0" w:color="auto"/>
                    <w:left w:val="none" w:sz="0" w:space="0" w:color="auto"/>
                    <w:bottom w:val="none" w:sz="0" w:space="0" w:color="auto"/>
                    <w:right w:val="none" w:sz="0" w:space="0" w:color="auto"/>
                  </w:divBdr>
                  <w:divsChild>
                    <w:div w:id="1492090672">
                      <w:marLeft w:val="0"/>
                      <w:marRight w:val="0"/>
                      <w:marTop w:val="0"/>
                      <w:marBottom w:val="0"/>
                      <w:divBdr>
                        <w:top w:val="none" w:sz="0" w:space="0" w:color="auto"/>
                        <w:left w:val="none" w:sz="0" w:space="0" w:color="auto"/>
                        <w:bottom w:val="none" w:sz="0" w:space="0" w:color="auto"/>
                        <w:right w:val="none" w:sz="0" w:space="0" w:color="auto"/>
                      </w:divBdr>
                    </w:div>
                    <w:div w:id="246113869">
                      <w:marLeft w:val="0"/>
                      <w:marRight w:val="0"/>
                      <w:marTop w:val="0"/>
                      <w:marBottom w:val="0"/>
                      <w:divBdr>
                        <w:top w:val="none" w:sz="0" w:space="0" w:color="auto"/>
                        <w:left w:val="none" w:sz="0" w:space="0" w:color="auto"/>
                        <w:bottom w:val="none" w:sz="0" w:space="0" w:color="auto"/>
                        <w:right w:val="none" w:sz="0" w:space="0" w:color="auto"/>
                      </w:divBdr>
                    </w:div>
                  </w:divsChild>
                </w:div>
                <w:div w:id="1536965741">
                  <w:marLeft w:val="0"/>
                  <w:marRight w:val="0"/>
                  <w:marTop w:val="0"/>
                  <w:marBottom w:val="0"/>
                  <w:divBdr>
                    <w:top w:val="none" w:sz="0" w:space="0" w:color="auto"/>
                    <w:left w:val="none" w:sz="0" w:space="0" w:color="auto"/>
                    <w:bottom w:val="none" w:sz="0" w:space="0" w:color="auto"/>
                    <w:right w:val="none" w:sz="0" w:space="0" w:color="auto"/>
                  </w:divBdr>
                  <w:divsChild>
                    <w:div w:id="9391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9FC3-0543-45B3-9399-83187751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4478</Words>
  <Characters>2553</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Gintarė Dubickaitė</dc:creator>
  <cp:lastModifiedBy>Kamilė Petrauskienė</cp:lastModifiedBy>
  <cp:revision>20</cp:revision>
  <cp:lastPrinted>2020-05-16T17:34:00Z</cp:lastPrinted>
  <dcterms:created xsi:type="dcterms:W3CDTF">2020-05-18T10:37:00Z</dcterms:created>
  <dcterms:modified xsi:type="dcterms:W3CDTF">2020-05-19T07:15:00Z</dcterms:modified>
</cp:coreProperties>
</file>